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420EEB">
      <w:pPr>
        <w:spacing w:before="192" w:line="219" w:lineRule="auto"/>
        <w:ind w:left="714"/>
        <w:rPr>
          <w:rFonts w:ascii="宋体" w:hAnsi="宋体" w:eastAsia="宋体" w:cs="宋体"/>
          <w:sz w:val="39"/>
          <w:szCs w:val="39"/>
        </w:rPr>
      </w:pPr>
      <w:r>
        <w:rPr>
          <w:rFonts w:ascii="宋体" w:hAnsi="宋体" w:eastAsia="宋体" w:cs="宋体"/>
          <w:spacing w:val="4"/>
          <w:sz w:val="39"/>
          <w:szCs w:val="39"/>
        </w:rPr>
        <w:t>博物馆陈列室展品照明</w:t>
      </w:r>
      <w:r>
        <w:rPr>
          <w:rFonts w:hint="eastAsia" w:ascii="宋体" w:hAnsi="宋体" w:eastAsia="宋体" w:cs="宋体"/>
          <w:spacing w:val="4"/>
          <w:sz w:val="39"/>
          <w:szCs w:val="39"/>
          <w:lang w:val="en-US" w:eastAsia="zh-CN"/>
        </w:rPr>
        <w:t>照度</w:t>
      </w:r>
      <w:r>
        <w:rPr>
          <w:rFonts w:ascii="宋体" w:hAnsi="宋体" w:eastAsia="宋体" w:cs="宋体"/>
          <w:spacing w:val="4"/>
          <w:sz w:val="39"/>
          <w:szCs w:val="39"/>
        </w:rPr>
        <w:t>标准</w:t>
      </w:r>
      <w:r>
        <w:rPr>
          <w:rFonts w:hint="eastAsia" w:ascii="宋体" w:hAnsi="宋体" w:eastAsia="宋体" w:cs="宋体"/>
          <w:spacing w:val="4"/>
          <w:sz w:val="39"/>
          <w:szCs w:val="39"/>
          <w:lang w:val="en-US" w:eastAsia="zh-CN"/>
        </w:rPr>
        <w:t>值</w:t>
      </w:r>
      <w:r>
        <w:rPr>
          <w:rFonts w:ascii="宋体" w:hAnsi="宋体" w:eastAsia="宋体" w:cs="宋体"/>
          <w:spacing w:val="4"/>
          <w:sz w:val="39"/>
          <w:szCs w:val="39"/>
        </w:rPr>
        <w:t>见表</w:t>
      </w:r>
    </w:p>
    <w:p w14:paraId="4548798B">
      <w:pPr>
        <w:spacing w:line="276" w:lineRule="auto"/>
        <w:rPr>
          <w:rFonts w:ascii="Arial"/>
          <w:sz w:val="21"/>
        </w:rPr>
      </w:pPr>
    </w:p>
    <w:p w14:paraId="42D034D5">
      <w:pPr>
        <w:spacing w:before="127" w:line="223" w:lineRule="auto"/>
        <w:ind w:left="720" w:firstLine="1624" w:firstLineChars="40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9"/>
          <w:szCs w:val="39"/>
        </w:rPr>
        <w:t xml:space="preserve">                  </w:t>
      </w:r>
      <w:r>
        <w:rPr>
          <w:rFonts w:ascii="黑体" w:hAnsi="黑体" w:eastAsia="黑体" w:cs="黑体"/>
          <w:b/>
          <w:bCs/>
          <w:spacing w:val="13"/>
          <w:sz w:val="31"/>
          <w:szCs w:val="31"/>
        </w:rPr>
        <w:t>博物馆陈列室展品</w:t>
      </w:r>
      <w:r>
        <w:rPr>
          <w:rFonts w:ascii="黑体" w:hAnsi="黑体" w:eastAsia="黑体" w:cs="黑体"/>
          <w:b/>
          <w:bCs/>
          <w:spacing w:val="13"/>
          <w:sz w:val="31"/>
          <w:szCs w:val="31"/>
        </w:rPr>
        <w:fldChar w:fldCharType="begin"/>
      </w:r>
      <w:r>
        <w:rPr>
          <w:rFonts w:ascii="黑体" w:hAnsi="黑体" w:eastAsia="黑体" w:cs="黑体"/>
          <w:b/>
          <w:bCs/>
          <w:spacing w:val="13"/>
          <w:sz w:val="31"/>
          <w:szCs w:val="31"/>
        </w:rPr>
        <w:instrText xml:space="preserve"> HYPERLINK "http://www.ledlongtech.com" </w:instrText>
      </w:r>
      <w:r>
        <w:rPr>
          <w:rFonts w:ascii="黑体" w:hAnsi="黑体" w:eastAsia="黑体" w:cs="黑体"/>
          <w:b/>
          <w:bCs/>
          <w:spacing w:val="13"/>
          <w:sz w:val="31"/>
          <w:szCs w:val="31"/>
        </w:rPr>
        <w:fldChar w:fldCharType="separate"/>
      </w:r>
      <w:r>
        <w:rPr>
          <w:rStyle w:val="4"/>
          <w:rFonts w:ascii="黑体" w:hAnsi="黑体" w:eastAsia="黑体" w:cs="黑体"/>
          <w:b/>
          <w:bCs/>
          <w:spacing w:val="13"/>
          <w:sz w:val="31"/>
          <w:szCs w:val="31"/>
        </w:rPr>
        <w:t>照明</w:t>
      </w:r>
      <w:r>
        <w:rPr>
          <w:rFonts w:ascii="黑体" w:hAnsi="黑体" w:eastAsia="黑体" w:cs="黑体"/>
          <w:b/>
          <w:bCs/>
          <w:spacing w:val="13"/>
          <w:sz w:val="31"/>
          <w:szCs w:val="31"/>
        </w:rPr>
        <w:fldChar w:fldCharType="end"/>
      </w:r>
      <w:bookmarkStart w:id="0" w:name="_GoBack"/>
      <w:bookmarkEnd w:id="0"/>
      <w:r>
        <w:rPr>
          <w:rFonts w:ascii="黑体" w:hAnsi="黑体" w:eastAsia="黑体" w:cs="黑体"/>
          <w:b/>
          <w:bCs/>
          <w:spacing w:val="13"/>
          <w:sz w:val="31"/>
          <w:szCs w:val="31"/>
        </w:rPr>
        <w:t>标准</w:t>
      </w:r>
    </w:p>
    <w:p w14:paraId="326C13F5">
      <w:pPr>
        <w:spacing w:line="182" w:lineRule="exact"/>
      </w:pPr>
    </w:p>
    <w:tbl>
      <w:tblPr>
        <w:tblStyle w:val="5"/>
        <w:tblW w:w="16459" w:type="dxa"/>
        <w:tblInd w:w="7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31"/>
        <w:gridCol w:w="3558"/>
        <w:gridCol w:w="3608"/>
        <w:gridCol w:w="1449"/>
        <w:gridCol w:w="1913"/>
      </w:tblGrid>
      <w:tr w14:paraId="7DC34F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5931" w:type="dxa"/>
            <w:vAlign w:val="top"/>
          </w:tcPr>
          <w:p w14:paraId="479BABA1">
            <w:pPr>
              <w:pStyle w:val="6"/>
              <w:spacing w:before="198" w:line="220" w:lineRule="auto"/>
              <w:ind w:left="2295"/>
            </w:pPr>
            <w:r>
              <w:rPr>
                <w:spacing w:val="2"/>
              </w:rPr>
              <w:t>房间或场所</w:t>
            </w:r>
          </w:p>
        </w:tc>
        <w:tc>
          <w:tcPr>
            <w:tcW w:w="3558" w:type="dxa"/>
            <w:vAlign w:val="top"/>
          </w:tcPr>
          <w:p w14:paraId="19C54C06">
            <w:pPr>
              <w:pStyle w:val="6"/>
              <w:spacing w:before="197" w:line="219" w:lineRule="auto"/>
              <w:ind w:left="573"/>
            </w:pPr>
            <w:r>
              <w:rPr>
                <w:spacing w:val="2"/>
              </w:rPr>
              <w:t>参考平面及其高度</w:t>
            </w:r>
          </w:p>
        </w:tc>
        <w:tc>
          <w:tcPr>
            <w:tcW w:w="3608" w:type="dxa"/>
            <w:vAlign w:val="top"/>
          </w:tcPr>
          <w:p w14:paraId="2173ABA2">
            <w:pPr>
              <w:pStyle w:val="6"/>
              <w:spacing w:before="197" w:line="219" w:lineRule="auto"/>
              <w:ind w:left="745"/>
            </w:pPr>
            <w:r>
              <w:rPr>
                <w:spacing w:val="9"/>
              </w:rPr>
              <w:t>照度标准值(</w:t>
            </w:r>
            <w:r>
              <w:t>lx</w:t>
            </w:r>
            <w:r>
              <w:rPr>
                <w:spacing w:val="9"/>
              </w:rPr>
              <w:t>)</w:t>
            </w:r>
          </w:p>
        </w:tc>
        <w:tc>
          <w:tcPr>
            <w:tcW w:w="1449" w:type="dxa"/>
            <w:vAlign w:val="top"/>
          </w:tcPr>
          <w:p w14:paraId="0E8ECB7F">
            <w:pPr>
              <w:pStyle w:val="6"/>
              <w:spacing w:before="274" w:line="183" w:lineRule="auto"/>
              <w:ind w:left="498"/>
            </w:pPr>
            <w:r>
              <w:rPr>
                <w:spacing w:val="-2"/>
              </w:rPr>
              <w:t>UGR</w:t>
            </w:r>
          </w:p>
        </w:tc>
        <w:tc>
          <w:tcPr>
            <w:tcW w:w="1913" w:type="dxa"/>
            <w:vAlign w:val="top"/>
          </w:tcPr>
          <w:p w14:paraId="74B6FD1A">
            <w:pPr>
              <w:pStyle w:val="6"/>
              <w:spacing w:before="276" w:line="182" w:lineRule="auto"/>
              <w:ind w:left="798"/>
            </w:pPr>
            <w:r>
              <w:rPr>
                <w:spacing w:val="-3"/>
              </w:rPr>
              <w:t>Ra</w:t>
            </w:r>
          </w:p>
        </w:tc>
      </w:tr>
      <w:tr w14:paraId="4C5EC2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7" w:hRule="atLeast"/>
        </w:trPr>
        <w:tc>
          <w:tcPr>
            <w:tcW w:w="5931" w:type="dxa"/>
            <w:vAlign w:val="top"/>
          </w:tcPr>
          <w:p w14:paraId="5BB13148">
            <w:pPr>
              <w:pStyle w:val="6"/>
              <w:spacing w:before="284" w:line="283" w:lineRule="auto"/>
              <w:ind w:left="195" w:firstLine="319"/>
            </w:pPr>
            <w:r>
              <w:t>对光特别敏感展品：纺织品、织绣品、绘</w:t>
            </w:r>
            <w:r>
              <w:rPr>
                <w:spacing w:val="5"/>
              </w:rPr>
              <w:t xml:space="preserve"> </w:t>
            </w:r>
            <w:r>
              <w:t>画、纸质物品、彩绘、陶(石)器、染色皮</w:t>
            </w:r>
          </w:p>
          <w:p w14:paraId="37520305">
            <w:pPr>
              <w:pStyle w:val="6"/>
              <w:spacing w:before="28" w:line="219" w:lineRule="auto"/>
              <w:ind w:left="195"/>
            </w:pPr>
            <w:r>
              <w:rPr>
                <w:spacing w:val="2"/>
              </w:rPr>
              <w:t>革、动物标本等</w:t>
            </w:r>
          </w:p>
        </w:tc>
        <w:tc>
          <w:tcPr>
            <w:tcW w:w="3558" w:type="dxa"/>
            <w:vAlign w:val="top"/>
          </w:tcPr>
          <w:p w14:paraId="0DBCC8CE">
            <w:pPr>
              <w:spacing w:line="317" w:lineRule="auto"/>
              <w:rPr>
                <w:rFonts w:ascii="Arial"/>
                <w:sz w:val="21"/>
              </w:rPr>
            </w:pPr>
          </w:p>
          <w:p w14:paraId="325151BC">
            <w:pPr>
              <w:spacing w:line="317" w:lineRule="auto"/>
              <w:rPr>
                <w:rFonts w:ascii="Arial"/>
                <w:sz w:val="21"/>
              </w:rPr>
            </w:pPr>
          </w:p>
          <w:p w14:paraId="1066E9E1">
            <w:pPr>
              <w:pStyle w:val="6"/>
              <w:spacing w:before="98" w:line="221" w:lineRule="auto"/>
              <w:ind w:left="1324"/>
            </w:pPr>
            <w:r>
              <w:rPr>
                <w:spacing w:val="4"/>
              </w:rPr>
              <w:t>展品面</w:t>
            </w:r>
          </w:p>
        </w:tc>
        <w:tc>
          <w:tcPr>
            <w:tcW w:w="3608" w:type="dxa"/>
            <w:vAlign w:val="top"/>
          </w:tcPr>
          <w:p w14:paraId="04998194">
            <w:pPr>
              <w:spacing w:line="354" w:lineRule="auto"/>
              <w:rPr>
                <w:rFonts w:ascii="Arial"/>
                <w:sz w:val="21"/>
              </w:rPr>
            </w:pPr>
          </w:p>
          <w:p w14:paraId="79896696">
            <w:pPr>
              <w:spacing w:line="355" w:lineRule="auto"/>
              <w:rPr>
                <w:rFonts w:ascii="Arial"/>
                <w:sz w:val="21"/>
              </w:rPr>
            </w:pPr>
          </w:p>
          <w:p w14:paraId="541BC69D">
            <w:pPr>
              <w:pStyle w:val="6"/>
              <w:spacing w:before="98" w:line="183" w:lineRule="auto"/>
              <w:ind w:left="1646"/>
            </w:pPr>
            <w:r>
              <w:rPr>
                <w:spacing w:val="-5"/>
              </w:rPr>
              <w:t>50</w:t>
            </w:r>
          </w:p>
        </w:tc>
        <w:tc>
          <w:tcPr>
            <w:tcW w:w="1449" w:type="dxa"/>
            <w:vAlign w:val="top"/>
          </w:tcPr>
          <w:p w14:paraId="3C0A2A44">
            <w:pPr>
              <w:spacing w:line="354" w:lineRule="auto"/>
              <w:rPr>
                <w:rFonts w:ascii="Arial"/>
                <w:sz w:val="21"/>
              </w:rPr>
            </w:pPr>
          </w:p>
          <w:p w14:paraId="0C45D24C">
            <w:pPr>
              <w:spacing w:line="354" w:lineRule="auto"/>
              <w:rPr>
                <w:rFonts w:ascii="Arial"/>
                <w:sz w:val="21"/>
              </w:rPr>
            </w:pPr>
          </w:p>
          <w:p w14:paraId="2E3743EE">
            <w:pPr>
              <w:pStyle w:val="6"/>
              <w:spacing w:before="97" w:line="184" w:lineRule="auto"/>
              <w:ind w:left="567"/>
            </w:pPr>
            <w:r>
              <w:rPr>
                <w:spacing w:val="-9"/>
              </w:rPr>
              <w:t>19</w:t>
            </w:r>
          </w:p>
        </w:tc>
        <w:tc>
          <w:tcPr>
            <w:tcW w:w="1913" w:type="dxa"/>
            <w:vAlign w:val="top"/>
          </w:tcPr>
          <w:p w14:paraId="5022F184">
            <w:pPr>
              <w:spacing w:line="330" w:lineRule="auto"/>
              <w:rPr>
                <w:rFonts w:ascii="Arial"/>
                <w:sz w:val="21"/>
              </w:rPr>
            </w:pPr>
          </w:p>
          <w:p w14:paraId="1953A47A">
            <w:pPr>
              <w:spacing w:line="331" w:lineRule="auto"/>
              <w:rPr>
                <w:rFonts w:ascii="Arial"/>
                <w:sz w:val="21"/>
              </w:rPr>
            </w:pPr>
          </w:p>
          <w:p w14:paraId="7AD3EEDC">
            <w:pPr>
              <w:pStyle w:val="6"/>
              <w:spacing w:before="98"/>
              <w:ind w:left="579"/>
            </w:pPr>
            <w:r>
              <w:rPr>
                <w:spacing w:val="-3"/>
              </w:rPr>
              <w:t>80~90</w:t>
            </w:r>
          </w:p>
        </w:tc>
      </w:tr>
      <w:tr w14:paraId="72A07D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7" w:hRule="atLeast"/>
        </w:trPr>
        <w:tc>
          <w:tcPr>
            <w:tcW w:w="5931" w:type="dxa"/>
            <w:vAlign w:val="top"/>
          </w:tcPr>
          <w:p w14:paraId="619C5B53">
            <w:pPr>
              <w:pStyle w:val="6"/>
              <w:spacing w:before="307" w:line="274" w:lineRule="auto"/>
              <w:ind w:left="185" w:firstLine="338"/>
              <w:jc w:val="both"/>
            </w:pPr>
            <w:r>
              <w:rPr>
                <w:spacing w:val="-1"/>
              </w:rPr>
              <w:t>对光较敏感展品：油画、蛋清画、不染色</w:t>
            </w:r>
            <w:r>
              <w:rPr>
                <w:spacing w:val="13"/>
              </w:rPr>
              <w:t xml:space="preserve"> </w:t>
            </w:r>
            <w:r>
              <w:t>皮革、角制品、骨制品、象牙制品、竹木制</w:t>
            </w:r>
            <w:r>
              <w:rPr>
                <w:spacing w:val="17"/>
              </w:rPr>
              <w:t xml:space="preserve"> </w:t>
            </w:r>
            <w:r>
              <w:rPr>
                <w:spacing w:val="1"/>
              </w:rPr>
              <w:t>品和漆器等</w:t>
            </w:r>
          </w:p>
        </w:tc>
        <w:tc>
          <w:tcPr>
            <w:tcW w:w="3558" w:type="dxa"/>
            <w:vAlign w:val="top"/>
          </w:tcPr>
          <w:p w14:paraId="1B9F37EB">
            <w:pPr>
              <w:spacing w:line="313" w:lineRule="auto"/>
              <w:rPr>
                <w:rFonts w:ascii="Arial"/>
                <w:sz w:val="21"/>
              </w:rPr>
            </w:pPr>
          </w:p>
          <w:p w14:paraId="40EB3D39">
            <w:pPr>
              <w:spacing w:line="314" w:lineRule="auto"/>
              <w:rPr>
                <w:rFonts w:ascii="Arial"/>
                <w:sz w:val="21"/>
              </w:rPr>
            </w:pPr>
          </w:p>
          <w:p w14:paraId="6034595E">
            <w:pPr>
              <w:pStyle w:val="6"/>
              <w:spacing w:before="98" w:line="221" w:lineRule="auto"/>
              <w:ind w:left="1324"/>
            </w:pPr>
            <w:r>
              <w:rPr>
                <w:spacing w:val="4"/>
              </w:rPr>
              <w:t>展品面</w:t>
            </w:r>
          </w:p>
        </w:tc>
        <w:tc>
          <w:tcPr>
            <w:tcW w:w="3608" w:type="dxa"/>
            <w:vAlign w:val="top"/>
          </w:tcPr>
          <w:p w14:paraId="359ACCA2">
            <w:pPr>
              <w:spacing w:line="350" w:lineRule="auto"/>
              <w:rPr>
                <w:rFonts w:ascii="Arial"/>
                <w:sz w:val="21"/>
              </w:rPr>
            </w:pPr>
          </w:p>
          <w:p w14:paraId="1DD995A1">
            <w:pPr>
              <w:spacing w:line="351" w:lineRule="auto"/>
              <w:rPr>
                <w:rFonts w:ascii="Arial"/>
                <w:sz w:val="21"/>
              </w:rPr>
            </w:pPr>
          </w:p>
          <w:p w14:paraId="23969CAA">
            <w:pPr>
              <w:pStyle w:val="6"/>
              <w:spacing w:before="97" w:line="184" w:lineRule="auto"/>
              <w:ind w:left="1576"/>
            </w:pPr>
            <w:r>
              <w:rPr>
                <w:spacing w:val="-8"/>
              </w:rPr>
              <w:t>150</w:t>
            </w:r>
          </w:p>
        </w:tc>
        <w:tc>
          <w:tcPr>
            <w:tcW w:w="1449" w:type="dxa"/>
            <w:vAlign w:val="top"/>
          </w:tcPr>
          <w:p w14:paraId="5D7E005A">
            <w:pPr>
              <w:spacing w:line="350" w:lineRule="auto"/>
              <w:rPr>
                <w:rFonts w:ascii="Arial"/>
                <w:sz w:val="21"/>
              </w:rPr>
            </w:pPr>
          </w:p>
          <w:p w14:paraId="4C0DFF0C">
            <w:pPr>
              <w:spacing w:line="351" w:lineRule="auto"/>
              <w:rPr>
                <w:rFonts w:ascii="Arial"/>
                <w:sz w:val="21"/>
              </w:rPr>
            </w:pPr>
          </w:p>
          <w:p w14:paraId="6D189135">
            <w:pPr>
              <w:pStyle w:val="6"/>
              <w:spacing w:before="97" w:line="184" w:lineRule="auto"/>
              <w:ind w:left="567"/>
            </w:pPr>
            <w:r>
              <w:rPr>
                <w:spacing w:val="-9"/>
              </w:rPr>
              <w:t>19</w:t>
            </w:r>
          </w:p>
        </w:tc>
        <w:tc>
          <w:tcPr>
            <w:tcW w:w="1913" w:type="dxa"/>
            <w:vAlign w:val="top"/>
          </w:tcPr>
          <w:p w14:paraId="619210BB">
            <w:pPr>
              <w:spacing w:line="327" w:lineRule="auto"/>
              <w:rPr>
                <w:rFonts w:ascii="Arial"/>
                <w:sz w:val="21"/>
              </w:rPr>
            </w:pPr>
          </w:p>
          <w:p w14:paraId="0B7C94BB">
            <w:pPr>
              <w:spacing w:line="327" w:lineRule="auto"/>
              <w:rPr>
                <w:rFonts w:ascii="Arial"/>
                <w:sz w:val="21"/>
              </w:rPr>
            </w:pPr>
          </w:p>
          <w:p w14:paraId="31569290">
            <w:pPr>
              <w:pStyle w:val="6"/>
              <w:spacing w:before="98"/>
              <w:ind w:left="579"/>
            </w:pPr>
            <w:r>
              <w:rPr>
                <w:spacing w:val="-3"/>
              </w:rPr>
              <w:t>80~90</w:t>
            </w:r>
          </w:p>
        </w:tc>
      </w:tr>
      <w:tr w14:paraId="10F781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5931" w:type="dxa"/>
            <w:vMerge w:val="restart"/>
            <w:tcBorders>
              <w:bottom w:val="nil"/>
            </w:tcBorders>
            <w:vAlign w:val="top"/>
          </w:tcPr>
          <w:p w14:paraId="0BB663D3">
            <w:pPr>
              <w:pStyle w:val="6"/>
              <w:spacing w:before="291" w:line="280" w:lineRule="auto"/>
              <w:ind w:left="164" w:firstLine="313"/>
              <w:jc w:val="both"/>
            </w:pPr>
            <w:r>
              <w:rPr>
                <w:spacing w:val="2"/>
              </w:rPr>
              <w:t>对光不敏感展品：金属制品、石质器物、</w:t>
            </w:r>
            <w:r>
              <w:rPr>
                <w:spacing w:val="5"/>
              </w:rPr>
              <w:t xml:space="preserve"> </w:t>
            </w:r>
            <w:r>
              <w:rPr>
                <w:spacing w:val="2"/>
              </w:rPr>
              <w:t>陶瓷器、宝玉石器、岩矿标本、玻璃制品、</w:t>
            </w:r>
            <w:r>
              <w:rPr>
                <w:spacing w:val="10"/>
              </w:rPr>
              <w:t xml:space="preserve"> </w:t>
            </w:r>
            <w:r>
              <w:rPr>
                <w:spacing w:val="-4"/>
              </w:rPr>
              <w:t>搪瓷制品、珐琅器等</w:t>
            </w:r>
          </w:p>
        </w:tc>
        <w:tc>
          <w:tcPr>
            <w:tcW w:w="3558" w:type="dxa"/>
            <w:vMerge w:val="restart"/>
            <w:tcBorders>
              <w:bottom w:val="nil"/>
            </w:tcBorders>
            <w:vAlign w:val="top"/>
          </w:tcPr>
          <w:p w14:paraId="5122FCF0">
            <w:pPr>
              <w:spacing w:line="315" w:lineRule="auto"/>
              <w:rPr>
                <w:rFonts w:ascii="Arial"/>
                <w:sz w:val="21"/>
              </w:rPr>
            </w:pPr>
          </w:p>
          <w:p w14:paraId="141B0DF2">
            <w:pPr>
              <w:spacing w:line="315" w:lineRule="auto"/>
              <w:rPr>
                <w:rFonts w:ascii="Arial"/>
                <w:sz w:val="21"/>
              </w:rPr>
            </w:pPr>
          </w:p>
          <w:p w14:paraId="7724B20B">
            <w:pPr>
              <w:pStyle w:val="6"/>
              <w:spacing w:before="98" w:line="221" w:lineRule="auto"/>
              <w:ind w:left="1324"/>
            </w:pPr>
            <w:r>
              <w:rPr>
                <w:spacing w:val="4"/>
              </w:rPr>
              <w:t>展品面</w:t>
            </w:r>
          </w:p>
        </w:tc>
        <w:tc>
          <w:tcPr>
            <w:tcW w:w="3608" w:type="dxa"/>
            <w:vMerge w:val="restart"/>
            <w:tcBorders>
              <w:bottom w:val="nil"/>
            </w:tcBorders>
            <w:vAlign w:val="top"/>
          </w:tcPr>
          <w:p w14:paraId="6EEEF425">
            <w:pPr>
              <w:spacing w:line="352" w:lineRule="auto"/>
              <w:rPr>
                <w:rFonts w:ascii="Arial"/>
                <w:sz w:val="21"/>
              </w:rPr>
            </w:pPr>
          </w:p>
          <w:p w14:paraId="44FEA03A">
            <w:pPr>
              <w:spacing w:line="353" w:lineRule="auto"/>
              <w:rPr>
                <w:rFonts w:ascii="Arial"/>
                <w:sz w:val="21"/>
              </w:rPr>
            </w:pPr>
          </w:p>
          <w:p w14:paraId="52B98C4F">
            <w:pPr>
              <w:pStyle w:val="6"/>
              <w:spacing w:before="98" w:line="183" w:lineRule="auto"/>
              <w:ind w:left="1576"/>
            </w:pPr>
            <w:r>
              <w:rPr>
                <w:spacing w:val="-4"/>
              </w:rPr>
              <w:t>300</w:t>
            </w:r>
          </w:p>
        </w:tc>
        <w:tc>
          <w:tcPr>
            <w:tcW w:w="1449" w:type="dxa"/>
            <w:vMerge w:val="restart"/>
            <w:tcBorders>
              <w:bottom w:val="nil"/>
            </w:tcBorders>
            <w:vAlign w:val="top"/>
          </w:tcPr>
          <w:p w14:paraId="6F544625">
            <w:pPr>
              <w:spacing w:line="352" w:lineRule="auto"/>
              <w:rPr>
                <w:rFonts w:ascii="Arial"/>
                <w:sz w:val="21"/>
              </w:rPr>
            </w:pPr>
          </w:p>
          <w:p w14:paraId="3D6DDE14">
            <w:pPr>
              <w:spacing w:line="352" w:lineRule="auto"/>
              <w:rPr>
                <w:rFonts w:ascii="Arial"/>
                <w:sz w:val="21"/>
              </w:rPr>
            </w:pPr>
          </w:p>
          <w:p w14:paraId="39BA0B8F">
            <w:pPr>
              <w:pStyle w:val="6"/>
              <w:spacing w:before="97" w:line="184" w:lineRule="auto"/>
              <w:ind w:left="567"/>
            </w:pPr>
            <w:r>
              <w:rPr>
                <w:spacing w:val="-9"/>
              </w:rPr>
              <w:t>19</w:t>
            </w:r>
          </w:p>
        </w:tc>
        <w:tc>
          <w:tcPr>
            <w:tcW w:w="1913" w:type="dxa"/>
            <w:vAlign w:val="top"/>
          </w:tcPr>
          <w:p w14:paraId="0861EA75">
            <w:pPr>
              <w:rPr>
                <w:rFonts w:ascii="Arial"/>
                <w:sz w:val="21"/>
              </w:rPr>
            </w:pPr>
          </w:p>
        </w:tc>
      </w:tr>
      <w:tr w14:paraId="70571B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5931" w:type="dxa"/>
            <w:vMerge w:val="continue"/>
            <w:tcBorders>
              <w:top w:val="nil"/>
            </w:tcBorders>
            <w:vAlign w:val="top"/>
          </w:tcPr>
          <w:p w14:paraId="5C7AE308">
            <w:pPr>
              <w:rPr>
                <w:rFonts w:ascii="Arial"/>
                <w:sz w:val="21"/>
              </w:rPr>
            </w:pPr>
          </w:p>
        </w:tc>
        <w:tc>
          <w:tcPr>
            <w:tcW w:w="3558" w:type="dxa"/>
            <w:vMerge w:val="continue"/>
            <w:tcBorders>
              <w:top w:val="nil"/>
            </w:tcBorders>
            <w:vAlign w:val="top"/>
          </w:tcPr>
          <w:p w14:paraId="754605CB">
            <w:pPr>
              <w:rPr>
                <w:rFonts w:ascii="Arial"/>
                <w:sz w:val="21"/>
              </w:rPr>
            </w:pPr>
          </w:p>
        </w:tc>
        <w:tc>
          <w:tcPr>
            <w:tcW w:w="3608" w:type="dxa"/>
            <w:vMerge w:val="continue"/>
            <w:tcBorders>
              <w:top w:val="nil"/>
            </w:tcBorders>
            <w:vAlign w:val="top"/>
          </w:tcPr>
          <w:p w14:paraId="4439E6CF">
            <w:pPr>
              <w:rPr>
                <w:rFonts w:ascii="Arial"/>
                <w:sz w:val="21"/>
              </w:rPr>
            </w:pPr>
          </w:p>
        </w:tc>
        <w:tc>
          <w:tcPr>
            <w:tcW w:w="1449" w:type="dxa"/>
            <w:vMerge w:val="continue"/>
            <w:tcBorders>
              <w:top w:val="nil"/>
            </w:tcBorders>
            <w:vAlign w:val="top"/>
          </w:tcPr>
          <w:p w14:paraId="4B9CD7F5">
            <w:pPr>
              <w:rPr>
                <w:rFonts w:ascii="Arial"/>
                <w:sz w:val="21"/>
              </w:rPr>
            </w:pPr>
          </w:p>
        </w:tc>
        <w:tc>
          <w:tcPr>
            <w:tcW w:w="1913" w:type="dxa"/>
            <w:vAlign w:val="top"/>
          </w:tcPr>
          <w:p w14:paraId="57442DD7">
            <w:pPr>
              <w:pStyle w:val="6"/>
              <w:spacing w:before="300"/>
              <w:ind w:left="579"/>
            </w:pPr>
            <w:r>
              <w:rPr>
                <w:spacing w:val="-3"/>
              </w:rPr>
              <w:t>80~90</w:t>
            </w:r>
          </w:p>
        </w:tc>
      </w:tr>
    </w:tbl>
    <w:p w14:paraId="157AEF9B">
      <w:pPr>
        <w:spacing w:before="315" w:line="222" w:lineRule="auto"/>
        <w:ind w:left="624"/>
        <w:rPr>
          <w:rFonts w:ascii="宋体" w:hAnsi="宋体" w:eastAsia="宋体" w:cs="宋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注</w:t>
      </w:r>
      <w:r>
        <w:rPr>
          <w:rFonts w:ascii="黑体" w:hAnsi="黑体" w:eastAsia="黑体" w:cs="黑体"/>
          <w:spacing w:val="36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-4"/>
          <w:sz w:val="31"/>
          <w:szCs w:val="31"/>
        </w:rPr>
        <w:t>1</w:t>
      </w:r>
      <w:r>
        <w:rPr>
          <w:rFonts w:ascii="宋体" w:hAnsi="宋体" w:eastAsia="宋体" w:cs="宋体"/>
          <w:spacing w:val="-4"/>
          <w:sz w:val="31"/>
          <w:szCs w:val="31"/>
        </w:rPr>
        <w:t>.陈列室一般照明应按展品照度值的20%～</w:t>
      </w:r>
      <w:r>
        <w:rPr>
          <w:rFonts w:ascii="宋体" w:hAnsi="宋体" w:eastAsia="宋体" w:cs="宋体"/>
          <w:spacing w:val="-5"/>
          <w:sz w:val="31"/>
          <w:szCs w:val="31"/>
        </w:rPr>
        <w:t>30%选取。</w:t>
      </w:r>
    </w:p>
    <w:p w14:paraId="0349C692">
      <w:pPr>
        <w:spacing w:before="217" w:line="219" w:lineRule="auto"/>
        <w:ind w:left="1234"/>
        <w:rPr>
          <w:rFonts w:ascii="宋体" w:hAnsi="宋体" w:eastAsia="宋体" w:cs="宋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-7"/>
          <w:sz w:val="31"/>
          <w:szCs w:val="31"/>
        </w:rPr>
        <w:t>2.</w:t>
      </w:r>
      <w:r>
        <w:rPr>
          <w:rFonts w:ascii="Times New Roman" w:hAnsi="Times New Roman" w:eastAsia="Times New Roman" w:cs="Times New Roman"/>
          <w:spacing w:val="52"/>
          <w:w w:val="10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7"/>
          <w:sz w:val="31"/>
          <w:szCs w:val="31"/>
        </w:rPr>
        <w:t>陈列室一般照明</w:t>
      </w:r>
      <w:r>
        <w:rPr>
          <w:rFonts w:ascii="Times New Roman" w:hAnsi="Times New Roman" w:eastAsia="Times New Roman" w:cs="Times New Roman"/>
          <w:spacing w:val="-7"/>
          <w:sz w:val="31"/>
          <w:szCs w:val="31"/>
        </w:rPr>
        <w:t>URG</w:t>
      </w:r>
      <w:r>
        <w:rPr>
          <w:rFonts w:ascii="宋体" w:hAnsi="宋体" w:eastAsia="宋体" w:cs="宋体"/>
          <w:spacing w:val="-7"/>
          <w:sz w:val="31"/>
          <w:szCs w:val="31"/>
        </w:rPr>
        <w:t>不宜大于19。</w:t>
      </w:r>
    </w:p>
    <w:p w14:paraId="3BE6BEDD">
      <w:pPr>
        <w:spacing w:before="240" w:line="216" w:lineRule="auto"/>
        <w:ind w:left="1224"/>
        <w:rPr>
          <w:rFonts w:ascii="宋体" w:hAnsi="宋体" w:eastAsia="宋体" w:cs="宋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3.</w:t>
      </w:r>
      <w:r>
        <w:rPr>
          <w:rFonts w:ascii="Times New Roman" w:hAnsi="Times New Roman" w:eastAsia="Times New Roman" w:cs="Times New Roman"/>
          <w:spacing w:val="4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"/>
          <w:sz w:val="31"/>
          <w:szCs w:val="31"/>
        </w:rPr>
        <w:t>辨色要求一般的场所</w:t>
      </w:r>
      <w:r>
        <w:rPr>
          <w:rFonts w:ascii="Times New Roman" w:hAnsi="Times New Roman" w:eastAsia="Times New Roman" w:cs="Times New Roman"/>
          <w:sz w:val="31"/>
          <w:szCs w:val="31"/>
        </w:rPr>
        <w:t>Ra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"/>
          <w:sz w:val="31"/>
          <w:szCs w:val="31"/>
        </w:rPr>
        <w:t>不应低于80,辨色要求高的场所</w:t>
      </w:r>
      <w:r>
        <w:rPr>
          <w:rFonts w:ascii="Times New Roman" w:hAnsi="Times New Roman" w:eastAsia="Times New Roman" w:cs="Times New Roman"/>
          <w:sz w:val="31"/>
          <w:szCs w:val="31"/>
        </w:rPr>
        <w:t>Ra</w:t>
      </w:r>
      <w:r>
        <w:rPr>
          <w:rFonts w:ascii="Times New Roman" w:hAnsi="Times New Roman" w:eastAsia="Times New Roman" w:cs="Times New Roman"/>
          <w:spacing w:val="2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"/>
          <w:sz w:val="31"/>
          <w:szCs w:val="31"/>
        </w:rPr>
        <w:t>不</w:t>
      </w:r>
      <w:r>
        <w:rPr>
          <w:rFonts w:ascii="宋体" w:hAnsi="宋体" w:eastAsia="宋体" w:cs="宋体"/>
          <w:sz w:val="31"/>
          <w:szCs w:val="31"/>
        </w:rPr>
        <w:t>应低于90。</w:t>
      </w:r>
    </w:p>
    <w:p w14:paraId="5F257BD9">
      <w:pPr>
        <w:spacing w:before="240" w:line="216" w:lineRule="auto"/>
        <w:ind w:left="1224"/>
        <w:rPr>
          <w:rFonts w:ascii="宋体" w:hAnsi="宋体" w:eastAsia="宋体" w:cs="宋体"/>
          <w:sz w:val="31"/>
          <w:szCs w:val="31"/>
        </w:rPr>
      </w:pPr>
    </w:p>
    <w:p w14:paraId="4AB9754C">
      <w:pPr>
        <w:spacing w:line="331" w:lineRule="auto"/>
        <w:rPr>
          <w:rFonts w:hint="default" w:ascii="Arial" w:eastAsia="宋体"/>
          <w:sz w:val="21"/>
          <w:lang w:val="en-US" w:eastAsia="zh-CN"/>
        </w:rPr>
      </w:pPr>
      <w:r>
        <w:rPr>
          <w:rFonts w:hint="eastAsia" w:eastAsia="宋体"/>
          <w:sz w:val="21"/>
          <w:lang w:val="en-US" w:eastAsia="zh-CN"/>
        </w:rPr>
        <w:t>美术馆照明照度标准值</w:t>
      </w:r>
    </w:p>
    <w:p w14:paraId="7D9687EA">
      <w:pPr>
        <w:spacing w:before="127" w:line="223" w:lineRule="auto"/>
        <w:ind w:left="720" w:firstLine="430" w:firstLineChars="10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20"/>
          <w:sz w:val="39"/>
          <w:szCs w:val="39"/>
        </w:rPr>
        <w:t xml:space="preserve">               </w:t>
      </w:r>
      <w:r>
        <w:rPr>
          <w:rFonts w:ascii="黑体" w:hAnsi="黑体" w:eastAsia="黑体" w:cs="黑体"/>
          <w:spacing w:val="19"/>
          <w:sz w:val="39"/>
          <w:szCs w:val="39"/>
        </w:rPr>
        <w:t xml:space="preserve">     </w:t>
      </w:r>
      <w:r>
        <w:rPr>
          <w:rFonts w:hint="eastAsia" w:ascii="黑体" w:hAnsi="黑体" w:eastAsia="黑体" w:cs="黑体"/>
          <w:b/>
          <w:bCs/>
          <w:spacing w:val="19"/>
          <w:sz w:val="28"/>
          <w:szCs w:val="28"/>
          <w:lang w:val="en-US" w:eastAsia="zh-CN"/>
        </w:rPr>
        <w:t>美术馆，</w:t>
      </w:r>
      <w:r>
        <w:rPr>
          <w:rFonts w:ascii="黑体" w:hAnsi="黑体" w:eastAsia="黑体" w:cs="黑体"/>
          <w:b/>
          <w:bCs/>
          <w:spacing w:val="19"/>
          <w:sz w:val="31"/>
          <w:szCs w:val="31"/>
        </w:rPr>
        <w:t>展览馆展厅照明标准</w:t>
      </w:r>
    </w:p>
    <w:p w14:paraId="55A0BEE8">
      <w:pPr>
        <w:spacing w:line="182" w:lineRule="exact"/>
      </w:pPr>
    </w:p>
    <w:tbl>
      <w:tblPr>
        <w:tblStyle w:val="5"/>
        <w:tblW w:w="165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53"/>
        <w:gridCol w:w="3727"/>
        <w:gridCol w:w="3888"/>
        <w:gridCol w:w="2178"/>
        <w:gridCol w:w="3203"/>
      </w:tblGrid>
      <w:tr w14:paraId="085690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3553" w:type="dxa"/>
            <w:vMerge w:val="restart"/>
            <w:tcBorders>
              <w:bottom w:val="nil"/>
            </w:tcBorders>
            <w:vAlign w:val="top"/>
          </w:tcPr>
          <w:p w14:paraId="15ED9A25">
            <w:pPr>
              <w:spacing w:line="378" w:lineRule="auto"/>
              <w:rPr>
                <w:rFonts w:ascii="Arial"/>
                <w:sz w:val="21"/>
              </w:rPr>
            </w:pPr>
          </w:p>
          <w:p w14:paraId="34F71FB6">
            <w:pPr>
              <w:pStyle w:val="6"/>
              <w:spacing w:before="97" w:line="220" w:lineRule="auto"/>
              <w:ind w:left="1014"/>
            </w:pPr>
            <w:r>
              <w:rPr>
                <w:spacing w:val="2"/>
              </w:rPr>
              <w:t>房间或场所</w:t>
            </w:r>
          </w:p>
        </w:tc>
        <w:tc>
          <w:tcPr>
            <w:tcW w:w="3727" w:type="dxa"/>
            <w:vMerge w:val="restart"/>
            <w:tcBorders>
              <w:bottom w:val="nil"/>
            </w:tcBorders>
            <w:vAlign w:val="top"/>
          </w:tcPr>
          <w:p w14:paraId="130F4B68">
            <w:pPr>
              <w:spacing w:line="377" w:lineRule="auto"/>
              <w:rPr>
                <w:rFonts w:ascii="Arial"/>
                <w:sz w:val="21"/>
              </w:rPr>
            </w:pPr>
          </w:p>
          <w:p w14:paraId="781E8377">
            <w:pPr>
              <w:pStyle w:val="6"/>
              <w:spacing w:before="98" w:line="219" w:lineRule="auto"/>
              <w:ind w:left="651"/>
            </w:pPr>
            <w:r>
              <w:rPr>
                <w:spacing w:val="2"/>
              </w:rPr>
              <w:t>参考平面及其高度</w:t>
            </w:r>
          </w:p>
        </w:tc>
        <w:tc>
          <w:tcPr>
            <w:tcW w:w="3888" w:type="dxa"/>
            <w:vMerge w:val="restart"/>
            <w:tcBorders>
              <w:bottom w:val="nil"/>
            </w:tcBorders>
            <w:vAlign w:val="top"/>
          </w:tcPr>
          <w:p w14:paraId="7DA71D62">
            <w:pPr>
              <w:spacing w:line="377" w:lineRule="auto"/>
              <w:rPr>
                <w:rFonts w:ascii="Arial"/>
                <w:sz w:val="21"/>
              </w:rPr>
            </w:pPr>
          </w:p>
          <w:p w14:paraId="0920F461">
            <w:pPr>
              <w:pStyle w:val="6"/>
              <w:spacing w:before="98" w:line="219" w:lineRule="auto"/>
              <w:ind w:left="884"/>
            </w:pPr>
            <w:r>
              <w:rPr>
                <w:spacing w:val="9"/>
              </w:rPr>
              <w:t>照度标准值(</w:t>
            </w:r>
            <w:r>
              <w:t>lx</w:t>
            </w:r>
            <w:r>
              <w:rPr>
                <w:spacing w:val="9"/>
              </w:rPr>
              <w:t>)</w:t>
            </w:r>
          </w:p>
        </w:tc>
        <w:tc>
          <w:tcPr>
            <w:tcW w:w="2178" w:type="dxa"/>
            <w:vMerge w:val="restart"/>
            <w:tcBorders>
              <w:bottom w:val="nil"/>
            </w:tcBorders>
            <w:vAlign w:val="top"/>
          </w:tcPr>
          <w:p w14:paraId="3E9DF42A">
            <w:pPr>
              <w:spacing w:line="454" w:lineRule="auto"/>
              <w:rPr>
                <w:rFonts w:ascii="Arial"/>
                <w:sz w:val="21"/>
              </w:rPr>
            </w:pPr>
          </w:p>
          <w:p w14:paraId="7FEB027C">
            <w:pPr>
              <w:pStyle w:val="6"/>
              <w:spacing w:before="97" w:line="183" w:lineRule="auto"/>
              <w:ind w:left="856"/>
            </w:pPr>
            <w:r>
              <w:rPr>
                <w:spacing w:val="-2"/>
              </w:rPr>
              <w:t>UGR</w:t>
            </w:r>
          </w:p>
        </w:tc>
        <w:tc>
          <w:tcPr>
            <w:tcW w:w="3203" w:type="dxa"/>
            <w:vAlign w:val="top"/>
          </w:tcPr>
          <w:p w14:paraId="4042CA3C">
            <w:pPr>
              <w:spacing w:line="337" w:lineRule="auto"/>
              <w:rPr>
                <w:rFonts w:ascii="Arial"/>
                <w:sz w:val="21"/>
              </w:rPr>
            </w:pPr>
          </w:p>
          <w:p w14:paraId="1C7533C0">
            <w:pPr>
              <w:pStyle w:val="6"/>
              <w:spacing w:before="97" w:line="225" w:lineRule="exact"/>
              <w:ind w:left="1448"/>
            </w:pPr>
            <w:r>
              <w:rPr>
                <w:spacing w:val="-3"/>
                <w:position w:val="-4"/>
              </w:rPr>
              <w:t>Ra</w:t>
            </w:r>
          </w:p>
        </w:tc>
      </w:tr>
      <w:tr w14:paraId="1BD6BC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3553" w:type="dxa"/>
            <w:vMerge w:val="continue"/>
            <w:tcBorders>
              <w:top w:val="nil"/>
            </w:tcBorders>
            <w:vAlign w:val="top"/>
          </w:tcPr>
          <w:p w14:paraId="0D062C12">
            <w:pPr>
              <w:rPr>
                <w:rFonts w:ascii="Arial"/>
                <w:sz w:val="21"/>
              </w:rPr>
            </w:pPr>
          </w:p>
        </w:tc>
        <w:tc>
          <w:tcPr>
            <w:tcW w:w="3727" w:type="dxa"/>
            <w:vMerge w:val="continue"/>
            <w:tcBorders>
              <w:top w:val="nil"/>
            </w:tcBorders>
            <w:vAlign w:val="top"/>
          </w:tcPr>
          <w:p w14:paraId="7A9001CA">
            <w:pPr>
              <w:rPr>
                <w:rFonts w:ascii="Arial"/>
                <w:sz w:val="21"/>
              </w:rPr>
            </w:pPr>
          </w:p>
        </w:tc>
        <w:tc>
          <w:tcPr>
            <w:tcW w:w="3888" w:type="dxa"/>
            <w:vMerge w:val="continue"/>
            <w:tcBorders>
              <w:top w:val="nil"/>
            </w:tcBorders>
            <w:vAlign w:val="top"/>
          </w:tcPr>
          <w:p w14:paraId="3E0B01D1">
            <w:pPr>
              <w:rPr>
                <w:rFonts w:ascii="Arial"/>
                <w:sz w:val="21"/>
              </w:rPr>
            </w:pPr>
          </w:p>
        </w:tc>
        <w:tc>
          <w:tcPr>
            <w:tcW w:w="2178" w:type="dxa"/>
            <w:vMerge w:val="continue"/>
            <w:tcBorders>
              <w:top w:val="nil"/>
            </w:tcBorders>
            <w:vAlign w:val="top"/>
          </w:tcPr>
          <w:p w14:paraId="7CF241FD">
            <w:pPr>
              <w:rPr>
                <w:rFonts w:ascii="Arial"/>
                <w:sz w:val="21"/>
              </w:rPr>
            </w:pPr>
          </w:p>
        </w:tc>
        <w:tc>
          <w:tcPr>
            <w:tcW w:w="3203" w:type="dxa"/>
            <w:vAlign w:val="top"/>
          </w:tcPr>
          <w:p w14:paraId="7852C1D5">
            <w:pPr>
              <w:rPr>
                <w:rFonts w:ascii="Arial"/>
                <w:sz w:val="21"/>
              </w:rPr>
            </w:pPr>
          </w:p>
        </w:tc>
      </w:tr>
      <w:tr w14:paraId="7AD318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3553" w:type="dxa"/>
            <w:vAlign w:val="top"/>
          </w:tcPr>
          <w:p w14:paraId="1DD1AD11">
            <w:pPr>
              <w:pStyle w:val="6"/>
              <w:spacing w:before="209" w:line="221" w:lineRule="auto"/>
              <w:ind w:left="1164"/>
            </w:pPr>
            <w:r>
              <w:rPr>
                <w:spacing w:val="3"/>
              </w:rPr>
              <w:t>一般展厅</w:t>
            </w:r>
          </w:p>
        </w:tc>
        <w:tc>
          <w:tcPr>
            <w:tcW w:w="3727" w:type="dxa"/>
            <w:vAlign w:val="top"/>
          </w:tcPr>
          <w:p w14:paraId="17108AAB">
            <w:pPr>
              <w:pStyle w:val="6"/>
              <w:spacing w:before="209" w:line="221" w:lineRule="auto"/>
              <w:ind w:left="1551"/>
            </w:pPr>
            <w:r>
              <w:rPr>
                <w:spacing w:val="6"/>
              </w:rPr>
              <w:t>地面</w:t>
            </w:r>
          </w:p>
        </w:tc>
        <w:tc>
          <w:tcPr>
            <w:tcW w:w="3888" w:type="dxa"/>
            <w:vAlign w:val="top"/>
          </w:tcPr>
          <w:p w14:paraId="1CC40D53">
            <w:pPr>
              <w:pStyle w:val="6"/>
              <w:spacing w:before="284" w:line="183" w:lineRule="auto"/>
              <w:ind w:left="1714"/>
            </w:pPr>
            <w:r>
              <w:rPr>
                <w:spacing w:val="-4"/>
              </w:rPr>
              <w:t>200</w:t>
            </w:r>
          </w:p>
        </w:tc>
        <w:tc>
          <w:tcPr>
            <w:tcW w:w="2178" w:type="dxa"/>
            <w:vAlign w:val="top"/>
          </w:tcPr>
          <w:p w14:paraId="193C6635">
            <w:pPr>
              <w:pStyle w:val="6"/>
              <w:spacing w:before="284" w:line="183" w:lineRule="auto"/>
              <w:ind w:left="936"/>
            </w:pPr>
            <w:r>
              <w:rPr>
                <w:spacing w:val="-4"/>
              </w:rPr>
              <w:t>22</w:t>
            </w:r>
          </w:p>
        </w:tc>
        <w:tc>
          <w:tcPr>
            <w:tcW w:w="3203" w:type="dxa"/>
            <w:vAlign w:val="top"/>
          </w:tcPr>
          <w:p w14:paraId="4AE51181">
            <w:pPr>
              <w:pStyle w:val="6"/>
              <w:spacing w:before="284" w:line="183" w:lineRule="auto"/>
              <w:ind w:left="1448"/>
            </w:pPr>
            <w:r>
              <w:rPr>
                <w:spacing w:val="-4"/>
              </w:rPr>
              <w:t>80</w:t>
            </w:r>
          </w:p>
        </w:tc>
      </w:tr>
      <w:tr w14:paraId="480F49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3553" w:type="dxa"/>
            <w:vAlign w:val="top"/>
          </w:tcPr>
          <w:p w14:paraId="1F4C7311">
            <w:pPr>
              <w:pStyle w:val="6"/>
              <w:spacing w:before="209" w:line="219" w:lineRule="auto"/>
              <w:ind w:left="1164"/>
            </w:pPr>
            <w:r>
              <w:rPr>
                <w:spacing w:val="3"/>
              </w:rPr>
              <w:t>高档展厅</w:t>
            </w:r>
          </w:p>
        </w:tc>
        <w:tc>
          <w:tcPr>
            <w:tcW w:w="3727" w:type="dxa"/>
            <w:vAlign w:val="top"/>
          </w:tcPr>
          <w:p w14:paraId="7F883FD0">
            <w:pPr>
              <w:pStyle w:val="6"/>
              <w:spacing w:before="211" w:line="221" w:lineRule="auto"/>
              <w:ind w:left="1551"/>
            </w:pPr>
            <w:r>
              <w:rPr>
                <w:spacing w:val="6"/>
              </w:rPr>
              <w:t>地面</w:t>
            </w:r>
          </w:p>
        </w:tc>
        <w:tc>
          <w:tcPr>
            <w:tcW w:w="3888" w:type="dxa"/>
            <w:vAlign w:val="top"/>
          </w:tcPr>
          <w:p w14:paraId="53BEAC82">
            <w:pPr>
              <w:pStyle w:val="6"/>
              <w:spacing w:before="286" w:line="183" w:lineRule="auto"/>
              <w:ind w:left="1714"/>
            </w:pPr>
            <w:r>
              <w:rPr>
                <w:spacing w:val="-4"/>
              </w:rPr>
              <w:t>300</w:t>
            </w:r>
          </w:p>
        </w:tc>
        <w:tc>
          <w:tcPr>
            <w:tcW w:w="2178" w:type="dxa"/>
            <w:vAlign w:val="top"/>
          </w:tcPr>
          <w:p w14:paraId="43AA120D">
            <w:pPr>
              <w:pStyle w:val="6"/>
              <w:spacing w:before="286" w:line="183" w:lineRule="auto"/>
              <w:ind w:left="936"/>
            </w:pPr>
            <w:r>
              <w:rPr>
                <w:spacing w:val="-4"/>
              </w:rPr>
              <w:t>22</w:t>
            </w:r>
          </w:p>
        </w:tc>
        <w:tc>
          <w:tcPr>
            <w:tcW w:w="3203" w:type="dxa"/>
            <w:vAlign w:val="top"/>
          </w:tcPr>
          <w:p w14:paraId="48B23D86">
            <w:pPr>
              <w:pStyle w:val="6"/>
              <w:spacing w:before="286" w:line="183" w:lineRule="auto"/>
              <w:ind w:left="1448"/>
            </w:pPr>
            <w:r>
              <w:rPr>
                <w:spacing w:val="-4"/>
              </w:rPr>
              <w:t>80</w:t>
            </w:r>
          </w:p>
        </w:tc>
      </w:tr>
    </w:tbl>
    <w:p w14:paraId="7AED525A">
      <w:pPr>
        <w:spacing w:line="283" w:lineRule="auto"/>
        <w:rPr>
          <w:rFonts w:ascii="Arial"/>
          <w:sz w:val="21"/>
        </w:rPr>
      </w:pPr>
    </w:p>
    <w:p w14:paraId="3363E32A">
      <w:pPr>
        <w:spacing w:line="283" w:lineRule="auto"/>
        <w:rPr>
          <w:rFonts w:ascii="Arial"/>
          <w:sz w:val="21"/>
        </w:rPr>
      </w:pPr>
    </w:p>
    <w:p w14:paraId="37088125">
      <w:pPr>
        <w:spacing w:line="283" w:lineRule="auto"/>
        <w:rPr>
          <w:rFonts w:ascii="Arial"/>
          <w:sz w:val="21"/>
        </w:rPr>
      </w:pPr>
    </w:p>
    <w:p w14:paraId="37FD6129">
      <w:pPr>
        <w:spacing w:before="128" w:line="221" w:lineRule="auto"/>
        <w:ind w:left="720"/>
        <w:outlineLvl w:val="0"/>
        <w:rPr>
          <w:rFonts w:ascii="黑体" w:hAnsi="黑体" w:eastAsia="黑体" w:cs="黑体"/>
          <w:sz w:val="39"/>
          <w:szCs w:val="39"/>
        </w:rPr>
      </w:pPr>
    </w:p>
    <w:sectPr>
      <w:headerReference r:id="rId5" w:type="default"/>
      <w:pgSz w:w="20480" w:h="15360"/>
      <w:pgMar w:top="1" w:right="2675" w:bottom="0" w:left="124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0F0568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36423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335</Words>
  <Characters>404</Characters>
  <TotalTime>3</TotalTime>
  <ScaleCrop>false</ScaleCrop>
  <LinksUpToDate>false</LinksUpToDate>
  <CharactersWithSpaces>457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2025-02-15T13:11:00Z</dcterms:created>
  <dc:creator>Kingsoft-PDF</dc:creator>
  <cp:lastModifiedBy>吴敏</cp:lastModifiedBy>
  <dcterms:modified xsi:type="dcterms:W3CDTF">2025-02-15T05:15:22Z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2025-02-15T13:11:35Z</vt:filetime>
  </property>
  <property fmtid="{D5CDD505-2E9C-101B-9397-08002B2CF9AE}" pid="4" name="UsrData">
    <vt:lpwstr>67b022055c05440020157e1fwl</vt:lpwstr>
  </property>
  <property fmtid="{D5CDD505-2E9C-101B-9397-08002B2CF9AE}" pid="5" name="KSOTemplateDocerSaveRecord">
    <vt:lpwstr>eyJoZGlkIjoiOGYwY2MxNmJjZDFiN2YyNTYzN2I2Yzk2NTU5OWVmODciLCJ1c2VySWQiOiI3MzI5ODkzOTQifQ==</vt:lpwstr>
  </property>
  <property fmtid="{D5CDD505-2E9C-101B-9397-08002B2CF9AE}" pid="6" name="KSOProductBuildVer">
    <vt:lpwstr>2052-12.1.0.19770</vt:lpwstr>
  </property>
  <property fmtid="{D5CDD505-2E9C-101B-9397-08002B2CF9AE}" pid="7" name="ICV">
    <vt:lpwstr>475D8AE85A544D098156B2C74B29C8B1_12</vt:lpwstr>
  </property>
</Properties>
</file>